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Ficha bibliográfica: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Gramsci, Antonio. “Cuaderno 25” 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Cuadernos de la Cárcel Tomo VI.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México. Era.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este texto, Gramsci hace un análisis sobre la historia de los grupos subalternos y su relación con los grupos dominantes; teniendo como referencia inmediata su contexto social-cultural e histórico-político italiano. Es un texto que corresponde al período del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fascismo (1933-1940).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Palabras clave: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Subalternos, grupos dominantes, Estado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Resumen: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Desde un análisis propio de 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política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 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historia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Gramsci se ocupa de la configuración histórica y política de los grupos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subalternos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En tanto que corresponde a un Cuaderno corto, Gramsci teoriza respecto a las condiciones históricas de los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subalternos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 su relación con los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grupos dominantes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 decir, el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Estado,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mismo que Gramsci entiende como “un resultado de las relaciones orgánicas” entre la Sociedad Política y la Sociedad Civil. Claramente, Gramsci se respalda de la literatura Italiana, de su historia inmediata y su contexto político ideológico actual para poder analizar la situación de los grupos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subalternos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 proponer, así, bases metodológicas para el estudio de estos grupos.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Caracterización de la violencia: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Gramsci identifica una relación específica entre los grupos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subalternos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 los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grupos dominantes.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Estado,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Estados, conforman la unidad histórica de los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grupos dominantes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clases dirigentes. En este sentido, podemos decir que la violencia que identificamos 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histórica, política y económica,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cuanto que, las grupos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subalternos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responden a la iniciativa de los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grupos dominantes,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sea, el Estado.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Citas textuales: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“La historia de los grupos sociales subalternos es necesariamente disgregada y episódica, Es indudable que en la actividad histórica de estos grupos existe la tendencia a la unificación, si bien según planes provisionales, pero esta tendencia es continuamente rota por la iniciativa de los grupos dominantes, y por lo tanto sólo puede ser demostrada a ciclo histórico cumplido, si éste concluye con un triunfo. Los grupos subalternos sufren siempre la iniciativa de los grupos dominantes, aun cuando se revelan y sublevan: sólo la victoria “ permanente” rompe, y no inmediatamente, la subordinación”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(p. 178)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“[...] porque careciendo los grupos subalternos de autonomía política, sus iniciativas “defensivas” son forzadas por leyes propias por necesidad, más simples, más limitadas y políticamente más generales de los que son las leyes de necesidad histórica que dirigen y condicionan las iniciativas de la clase dominante. A menudo los grupos subalternos son originariamente de otra raza (otra cultura y otra religión ) que los dominantes y a menudo son una mezcla de razas distintas, como en el caso de los esclavos”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(p. 181)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